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60905" w:rsidP="005D0621">
            <w:pPr>
              <w:rPr>
                <w:b/>
              </w:rPr>
            </w:pPr>
            <w:r w:rsidRPr="00D60905">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D093B" w:rsidP="004A6D2F">
            <w:pPr>
              <w:rPr>
                <w:rStyle w:val="Firstpagetablebold"/>
              </w:rPr>
            </w:pPr>
            <w:r>
              <w:rPr>
                <w:rStyle w:val="Firstpagetablebold"/>
              </w:rPr>
              <w:t xml:space="preserve">Head of </w:t>
            </w:r>
            <w:r w:rsidRPr="009D093B">
              <w:rPr>
                <w:rStyle w:val="Firstpagetablebold"/>
              </w:rPr>
              <w:t>Planning, Sustainable Development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D093B" w:rsidP="004A6D2F">
            <w:pPr>
              <w:rPr>
                <w:rStyle w:val="Firstpagetablebold"/>
              </w:rPr>
            </w:pPr>
            <w:r>
              <w:rPr>
                <w:rStyle w:val="Firstpagetablebold"/>
              </w:rPr>
              <w:t xml:space="preserve">Housing Assistance and Disabled Adaptation Policy </w:t>
            </w:r>
            <w:r w:rsidR="00D60905">
              <w:rPr>
                <w:rStyle w:val="Firstpagetablebold"/>
              </w:rPr>
              <w:t>- Consultation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D093B" w:rsidP="00D60905">
            <w:r>
              <w:t xml:space="preserve">This report seeks approval from members to </w:t>
            </w:r>
            <w:r w:rsidR="00625D7B">
              <w:t>implement the</w:t>
            </w:r>
            <w:r w:rsidR="00D60905">
              <w:t xml:space="preserve"> </w:t>
            </w:r>
            <w:r w:rsidR="002573EF">
              <w:t xml:space="preserve">proposed </w:t>
            </w:r>
            <w:r>
              <w:t xml:space="preserve">changes to the </w:t>
            </w:r>
            <w:r w:rsidRPr="009D093B">
              <w:t>Housing Assistance</w:t>
            </w:r>
            <w:r>
              <w:t xml:space="preserve"> and Disabled Adaptation Policy.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873C7" w:rsidP="005F7F7E">
            <w:r>
              <w:t xml:space="preserve">Councillor Mike Rowley, </w:t>
            </w:r>
            <w:r w:rsidRPr="00E873C7">
              <w:t>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34EDE" w:rsidP="005F7F7E">
            <w:r w:rsidRPr="00C34EDE">
              <w:t>Meeting housing needs, Strong and active communities, An effective and efficient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8176F" w:rsidRPr="001356F1" w:rsidRDefault="00F74B3C" w:rsidP="00CE6F46">
            <w:r>
              <w:t>Private Sector Housing Policy 20</w:t>
            </w:r>
            <w:r w:rsidR="00CE6F46">
              <w:t>1</w:t>
            </w:r>
            <w:r>
              <w:t>6-19</w:t>
            </w:r>
          </w:p>
        </w:tc>
      </w:tr>
      <w:tr w:rsidR="005F7F7E" w:rsidRPr="00975B07" w:rsidTr="00A46E98">
        <w:trPr>
          <w:trHeight w:val="413"/>
        </w:trPr>
        <w:tc>
          <w:tcPr>
            <w:tcW w:w="8845" w:type="dxa"/>
            <w:gridSpan w:val="3"/>
            <w:tcBorders>
              <w:bottom w:val="single" w:sz="8" w:space="0" w:color="000000"/>
            </w:tcBorders>
          </w:tcPr>
          <w:p w:rsidR="005F7F7E" w:rsidRPr="00975B07" w:rsidRDefault="00F76FC8" w:rsidP="00F76FC8">
            <w:proofErr w:type="spellStart"/>
            <w:r>
              <w:rPr>
                <w:rStyle w:val="Firstpagetablebold"/>
              </w:rPr>
              <w:t>Recommendation</w:t>
            </w:r>
            <w:r w:rsidR="005F7F7E">
              <w:rPr>
                <w:rStyle w:val="Firstpagetablebold"/>
              </w:rPr>
              <w:t>:That</w:t>
            </w:r>
            <w:proofErr w:type="spellEnd"/>
            <w:r w:rsidR="005F7F7E">
              <w:rPr>
                <w:rStyle w:val="Firstpagetablebold"/>
              </w:rPr>
              <w:t xml:space="preserve"> the City Executive Board resolves to:</w:t>
            </w:r>
          </w:p>
        </w:tc>
      </w:tr>
      <w:tr w:rsidR="0030208D" w:rsidRPr="00C34EDE" w:rsidTr="00BE4593">
        <w:trPr>
          <w:trHeight w:val="283"/>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A8176F" w:rsidRPr="00C34EDE" w:rsidRDefault="00C34EDE" w:rsidP="00D60905">
            <w:bookmarkStart w:id="0" w:name="_GoBack"/>
            <w:r w:rsidRPr="00820859">
              <w:rPr>
                <w:rStyle w:val="Firstpagetablebold"/>
              </w:rPr>
              <w:t>Approve</w:t>
            </w:r>
            <w:bookmarkEnd w:id="0"/>
            <w:r w:rsidRPr="00C34EDE">
              <w:rPr>
                <w:rStyle w:val="Firstpagetablebold"/>
                <w:b w:val="0"/>
              </w:rPr>
              <w:t xml:space="preserve"> </w:t>
            </w:r>
            <w:r w:rsidR="00BE4593">
              <w:rPr>
                <w:rStyle w:val="Firstpagetablebold"/>
                <w:b w:val="0"/>
              </w:rPr>
              <w:t xml:space="preserve">the draft </w:t>
            </w:r>
            <w:r w:rsidR="00BE4593" w:rsidRPr="00C34EDE">
              <w:rPr>
                <w:rStyle w:val="Firstpagetablebold"/>
                <w:b w:val="0"/>
              </w:rPr>
              <w:t>Housing Assistanc</w:t>
            </w:r>
            <w:r w:rsidR="00D60905">
              <w:rPr>
                <w:rStyle w:val="Firstpagetablebold"/>
                <w:b w:val="0"/>
              </w:rPr>
              <w:t>e and Disabled Adaptation Policy.</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30334">
        <w:trPr>
          <w:trHeight w:val="870"/>
        </w:trPr>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33362D" w:rsidRPr="001356F1" w:rsidRDefault="00C34EDE" w:rsidP="00C34EDE">
            <w:r>
              <w:t xml:space="preserve">Current - </w:t>
            </w:r>
            <w:r w:rsidRPr="00C34EDE">
              <w:t xml:space="preserve">Housing Assistance and Disabled Adaptation Policy </w:t>
            </w:r>
            <w:r>
              <w:t>2008</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33362D" w:rsidRDefault="00C34EDE" w:rsidP="004A6D2F">
            <w:r>
              <w:t xml:space="preserve">New - </w:t>
            </w:r>
            <w:r w:rsidRPr="00C34EDE">
              <w:t>Housing Assistance and Disabled Adaptation Policy 20</w:t>
            </w:r>
            <w:r>
              <w:t>17</w:t>
            </w:r>
            <w:r w:rsidR="008C2400">
              <w:t xml:space="preserve"> – v2</w:t>
            </w:r>
          </w:p>
          <w:p w:rsidR="00CE6F46" w:rsidRPr="001356F1" w:rsidRDefault="00CE6F46" w:rsidP="004A6D2F"/>
        </w:tc>
      </w:tr>
      <w:tr w:rsidR="00B30334" w:rsidRPr="00975B07" w:rsidTr="00CE6F46">
        <w:tc>
          <w:tcPr>
            <w:tcW w:w="2438" w:type="dxa"/>
            <w:tcBorders>
              <w:top w:val="nil"/>
              <w:left w:val="single" w:sz="8" w:space="0" w:color="000000"/>
              <w:bottom w:val="nil"/>
              <w:right w:val="nil"/>
            </w:tcBorders>
            <w:shd w:val="clear" w:color="auto" w:fill="auto"/>
          </w:tcPr>
          <w:p w:rsidR="00B30334" w:rsidRPr="00975B07" w:rsidRDefault="00B30334" w:rsidP="00B30334">
            <w:r>
              <w:t>Appendix 3</w:t>
            </w:r>
            <w:r w:rsidRPr="00B30334">
              <w:tab/>
            </w:r>
          </w:p>
        </w:tc>
        <w:tc>
          <w:tcPr>
            <w:tcW w:w="6406" w:type="dxa"/>
            <w:tcBorders>
              <w:top w:val="nil"/>
              <w:left w:val="nil"/>
              <w:bottom w:val="nil"/>
              <w:right w:val="single" w:sz="8" w:space="0" w:color="000000"/>
            </w:tcBorders>
          </w:tcPr>
          <w:p w:rsidR="00E05CDA" w:rsidRDefault="00E05CDA" w:rsidP="00CE6F46">
            <w:r>
              <w:t>Risk register</w:t>
            </w:r>
          </w:p>
          <w:p w:rsidR="00CE6F46" w:rsidRDefault="00CE6F46" w:rsidP="00CE6F46"/>
        </w:tc>
      </w:tr>
      <w:tr w:rsidR="00B30334" w:rsidRPr="00975B07" w:rsidTr="008C2400">
        <w:tc>
          <w:tcPr>
            <w:tcW w:w="2438" w:type="dxa"/>
            <w:tcBorders>
              <w:top w:val="nil"/>
              <w:left w:val="single" w:sz="8" w:space="0" w:color="000000"/>
              <w:bottom w:val="nil"/>
              <w:right w:val="nil"/>
            </w:tcBorders>
            <w:shd w:val="clear" w:color="auto" w:fill="auto"/>
          </w:tcPr>
          <w:p w:rsidR="00B30334" w:rsidRPr="00975B07" w:rsidRDefault="00B30334" w:rsidP="00B30334">
            <w:r w:rsidRPr="00B30334">
              <w:t xml:space="preserve">Appendix </w:t>
            </w:r>
            <w:r>
              <w:t>4</w:t>
            </w:r>
          </w:p>
        </w:tc>
        <w:tc>
          <w:tcPr>
            <w:tcW w:w="6406" w:type="dxa"/>
            <w:tcBorders>
              <w:top w:val="nil"/>
              <w:left w:val="nil"/>
              <w:bottom w:val="nil"/>
              <w:right w:val="single" w:sz="8" w:space="0" w:color="000000"/>
            </w:tcBorders>
          </w:tcPr>
          <w:p w:rsidR="00E05CDA" w:rsidRDefault="00E05CDA" w:rsidP="00CE6F46">
            <w:r>
              <w:t>Equalities Impact Assessment</w:t>
            </w:r>
          </w:p>
        </w:tc>
      </w:tr>
      <w:tr w:rsidR="008C2400" w:rsidRPr="00975B07" w:rsidTr="00CE6F46">
        <w:tc>
          <w:tcPr>
            <w:tcW w:w="2438" w:type="dxa"/>
            <w:tcBorders>
              <w:top w:val="nil"/>
              <w:left w:val="single" w:sz="8" w:space="0" w:color="000000"/>
              <w:bottom w:val="single" w:sz="4" w:space="0" w:color="auto"/>
              <w:right w:val="nil"/>
            </w:tcBorders>
            <w:shd w:val="clear" w:color="auto" w:fill="auto"/>
          </w:tcPr>
          <w:p w:rsidR="008C2400" w:rsidRPr="00B30334" w:rsidRDefault="008C2400" w:rsidP="00B30334">
            <w:r>
              <w:t>Appendix 5</w:t>
            </w:r>
          </w:p>
        </w:tc>
        <w:tc>
          <w:tcPr>
            <w:tcW w:w="6406" w:type="dxa"/>
            <w:tcBorders>
              <w:top w:val="nil"/>
              <w:left w:val="nil"/>
              <w:bottom w:val="single" w:sz="4" w:space="0" w:color="auto"/>
              <w:right w:val="single" w:sz="8" w:space="0" w:color="000000"/>
            </w:tcBorders>
          </w:tcPr>
          <w:p w:rsidR="008C2400" w:rsidRDefault="008C2400" w:rsidP="00CE6F46">
            <w:r w:rsidRPr="008C2400">
              <w:t>New - Housing Assistance and Disabled Adaptation Policy 2017 – v</w:t>
            </w:r>
            <w:r>
              <w:t>3</w:t>
            </w:r>
          </w:p>
        </w:tc>
      </w:tr>
    </w:tbl>
    <w:p w:rsidR="00BF674F" w:rsidRDefault="00BF674F"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E3D46" w:rsidRDefault="005E3D46" w:rsidP="00625D7B">
      <w:pPr>
        <w:pStyle w:val="ListParagraph"/>
      </w:pPr>
      <w:r>
        <w:t>T</w:t>
      </w:r>
      <w:r w:rsidRPr="00327347">
        <w:t xml:space="preserve">he </w:t>
      </w:r>
      <w:r>
        <w:t xml:space="preserve">first draft of the proposed </w:t>
      </w:r>
      <w:r w:rsidRPr="00327347">
        <w:t xml:space="preserve">Housing Assistance </w:t>
      </w:r>
      <w:r>
        <w:t xml:space="preserve">and Disabled Adaptation Policy was approved for consultation by the City Executive Board on the </w:t>
      </w:r>
      <w:r w:rsidRPr="00327347">
        <w:t>1</w:t>
      </w:r>
      <w:r>
        <w:t>8</w:t>
      </w:r>
      <w:r w:rsidRPr="00327347">
        <w:t>th Oct</w:t>
      </w:r>
      <w:r>
        <w:t xml:space="preserve">ober 2017. </w:t>
      </w:r>
    </w:p>
    <w:p w:rsidR="006871C4" w:rsidRDefault="001048B6" w:rsidP="003D418D">
      <w:pPr>
        <w:pStyle w:val="ListParagraph"/>
      </w:pPr>
      <w:r w:rsidRPr="00082BEC">
        <w:t xml:space="preserve">The main </w:t>
      </w:r>
      <w:r w:rsidR="005E3D46">
        <w:t xml:space="preserve">proposed </w:t>
      </w:r>
      <w:r w:rsidRPr="00082BEC">
        <w:t xml:space="preserve">changes </w:t>
      </w:r>
      <w:r w:rsidR="005E3D46">
        <w:t>to the existing policy a</w:t>
      </w:r>
      <w:r w:rsidR="00625D7B">
        <w:t xml:space="preserve">re </w:t>
      </w:r>
      <w:r w:rsidRPr="00082BEC">
        <w:t>to</w:t>
      </w:r>
      <w:r w:rsidR="00227AB8">
        <w:t>:</w:t>
      </w:r>
    </w:p>
    <w:p w:rsidR="00DA2D64" w:rsidRPr="00416792" w:rsidRDefault="000E3E65" w:rsidP="00994FE2">
      <w:pPr>
        <w:pStyle w:val="ListParagraph"/>
        <w:numPr>
          <w:ilvl w:val="0"/>
          <w:numId w:val="6"/>
        </w:numPr>
      </w:pPr>
      <w:r w:rsidRPr="00416792">
        <w:t xml:space="preserve">Create a new </w:t>
      </w:r>
      <w:r w:rsidR="00DA2D64" w:rsidRPr="00416792">
        <w:t xml:space="preserve">discretionary </w:t>
      </w:r>
      <w:r w:rsidRPr="00416792">
        <w:t>Adapted Homes Grant with a maximum value of £5,000 that is available for DFG applicants w</w:t>
      </w:r>
      <w:r w:rsidR="008F143D" w:rsidRPr="00416792">
        <w:t>ith</w:t>
      </w:r>
      <w:r w:rsidR="004C4CEE" w:rsidRPr="00416792">
        <w:t>out a</w:t>
      </w:r>
      <w:r w:rsidRPr="00416792">
        <w:t xml:space="preserve"> means test. </w:t>
      </w:r>
      <w:r w:rsidR="00DA2D64" w:rsidRPr="00416792">
        <w:t xml:space="preserve">This is to help people who cannot afford </w:t>
      </w:r>
      <w:r w:rsidR="004C4CEE" w:rsidRPr="00416792">
        <w:t xml:space="preserve">or believe they cannot afford their assessed </w:t>
      </w:r>
      <w:r w:rsidR="00DA2D64" w:rsidRPr="00416792">
        <w:t>contribut</w:t>
      </w:r>
      <w:r w:rsidR="004C4CEE" w:rsidRPr="00416792">
        <w:t>ion</w:t>
      </w:r>
      <w:r w:rsidR="00DA2D64" w:rsidRPr="00416792">
        <w:t xml:space="preserve"> towards the DFG. </w:t>
      </w:r>
      <w:r w:rsidR="00BB03D6" w:rsidRPr="00416792">
        <w:t xml:space="preserve"> </w:t>
      </w:r>
    </w:p>
    <w:p w:rsidR="005F165C" w:rsidRDefault="006871C4" w:rsidP="00994FE2">
      <w:pPr>
        <w:pStyle w:val="ListParagraph"/>
        <w:numPr>
          <w:ilvl w:val="0"/>
          <w:numId w:val="6"/>
        </w:numPr>
      </w:pPr>
      <w:r>
        <w:t xml:space="preserve">Increase the </w:t>
      </w:r>
      <w:r w:rsidR="000E3E65">
        <w:t>maximum amount for a D</w:t>
      </w:r>
      <w:r>
        <w:t xml:space="preserve">iscretionary </w:t>
      </w:r>
      <w:r w:rsidR="000E3E65">
        <w:t>Disabled Facilities G</w:t>
      </w:r>
      <w:r>
        <w:t xml:space="preserve">rant </w:t>
      </w:r>
      <w:r w:rsidR="005F165C">
        <w:t>to £10,000</w:t>
      </w:r>
      <w:r w:rsidR="0012343F">
        <w:t xml:space="preserve">. </w:t>
      </w:r>
      <w:r w:rsidR="00DA2D64">
        <w:t>This is to help the people on low incomes where the costs ex</w:t>
      </w:r>
      <w:r w:rsidR="00BB03D6" w:rsidRPr="00BB03D6">
        <w:t>ceed the £30K grant maximum.</w:t>
      </w:r>
    </w:p>
    <w:p w:rsidR="00690A81" w:rsidRDefault="005F165C" w:rsidP="005E3D46">
      <w:pPr>
        <w:pStyle w:val="ListParagraph"/>
        <w:numPr>
          <w:ilvl w:val="0"/>
          <w:numId w:val="6"/>
        </w:numPr>
      </w:pPr>
      <w:r>
        <w:t>I</w:t>
      </w:r>
      <w:r w:rsidR="001048B6" w:rsidRPr="00082BEC">
        <w:t xml:space="preserve">ntroduce a </w:t>
      </w:r>
      <w:r w:rsidR="00B94C36">
        <w:t xml:space="preserve">new discretionary </w:t>
      </w:r>
      <w:r w:rsidR="001048B6" w:rsidRPr="00082BEC">
        <w:t>Safe and Secure Grant</w:t>
      </w:r>
      <w:r w:rsidR="00D9603C">
        <w:t xml:space="preserve"> </w:t>
      </w:r>
      <w:r w:rsidR="00B94C36">
        <w:t xml:space="preserve">up to a maximum of £1,000 </w:t>
      </w:r>
      <w:r w:rsidR="00D9603C">
        <w:t>to reduce falls to vulnerable people</w:t>
      </w:r>
      <w:r w:rsidR="00B94C36">
        <w:t xml:space="preserve"> and assist with hospital discharge</w:t>
      </w:r>
      <w:r w:rsidR="001048B6" w:rsidRPr="00082BEC">
        <w:t xml:space="preserve">. </w:t>
      </w:r>
    </w:p>
    <w:p w:rsidR="005E3D46" w:rsidRDefault="005E3D46" w:rsidP="005E3D46">
      <w:pPr>
        <w:ind w:left="426" w:hanging="426"/>
      </w:pPr>
      <w:r w:rsidRPr="005E3D46">
        <w:t>2.</w:t>
      </w:r>
      <w:r w:rsidRPr="005E3D46">
        <w:tab/>
        <w:t xml:space="preserve">The consultation took place </w:t>
      </w:r>
      <w:proofErr w:type="gramStart"/>
      <w:r w:rsidRPr="005E3D46">
        <w:t xml:space="preserve">between </w:t>
      </w:r>
      <w:r w:rsidR="00603397" w:rsidRPr="00603397">
        <w:t>18</w:t>
      </w:r>
      <w:r w:rsidR="00603397">
        <w:t>th</w:t>
      </w:r>
      <w:r w:rsidR="00603397" w:rsidRPr="00603397">
        <w:t xml:space="preserve"> October</w:t>
      </w:r>
      <w:proofErr w:type="gramEnd"/>
      <w:r w:rsidR="00603397" w:rsidRPr="00603397">
        <w:t xml:space="preserve"> - 16 November 2017</w:t>
      </w:r>
      <w:r w:rsidRPr="005E3D46">
        <w:t>and this report provides information on the response and the proposed changes to the draft policy.</w:t>
      </w:r>
    </w:p>
    <w:p w:rsidR="00A8176F" w:rsidRDefault="00625D7B" w:rsidP="00BE4593">
      <w:pPr>
        <w:ind w:left="426" w:hanging="426"/>
        <w:rPr>
          <w:b/>
        </w:rPr>
      </w:pPr>
      <w:r>
        <w:rPr>
          <w:b/>
        </w:rPr>
        <w:t>Con</w:t>
      </w:r>
      <w:r w:rsidR="00080581">
        <w:rPr>
          <w:b/>
        </w:rPr>
        <w:t xml:space="preserve">sultation </w:t>
      </w:r>
      <w:r w:rsidR="00E87F7A" w:rsidRPr="00BE4593">
        <w:rPr>
          <w:b/>
        </w:rPr>
        <w:t xml:space="preserve"> </w:t>
      </w:r>
    </w:p>
    <w:p w:rsidR="00EB28D6" w:rsidRPr="00EB28D6" w:rsidRDefault="005E3D46" w:rsidP="00BE4593">
      <w:pPr>
        <w:pStyle w:val="ListParagraph"/>
        <w:ind w:left="426" w:hanging="426"/>
        <w:rPr>
          <w:b/>
        </w:rPr>
      </w:pPr>
      <w:r>
        <w:t xml:space="preserve">The </w:t>
      </w:r>
      <w:r w:rsidR="004271CD">
        <w:t xml:space="preserve">consultation </w:t>
      </w:r>
      <w:r>
        <w:t>was carried out by</w:t>
      </w:r>
      <w:r w:rsidR="00810963">
        <w:t xml:space="preserve"> </w:t>
      </w:r>
      <w:r w:rsidR="00603397">
        <w:t>an on-line questionnaire on our consultation portal.</w:t>
      </w:r>
      <w:r w:rsidR="00EB28D6">
        <w:t xml:space="preserve"> </w:t>
      </w:r>
    </w:p>
    <w:p w:rsidR="00EB28D6" w:rsidRPr="00EB28D6" w:rsidRDefault="00EB28D6" w:rsidP="00BE4593">
      <w:pPr>
        <w:pStyle w:val="ListParagraph"/>
        <w:ind w:left="426" w:hanging="426"/>
        <w:rPr>
          <w:b/>
        </w:rPr>
      </w:pPr>
      <w:r>
        <w:t>Emails were sent out to all out stakeholder groups who work with our client group with information on the proposal and a link to the consultation with a paper version attached to give out to clients if they prefer.</w:t>
      </w:r>
    </w:p>
    <w:p w:rsidR="00EB28D6" w:rsidRPr="00EB28D6" w:rsidRDefault="00EB28D6" w:rsidP="00BE4593">
      <w:pPr>
        <w:pStyle w:val="ListParagraph"/>
        <w:ind w:left="426" w:hanging="426"/>
      </w:pPr>
      <w:r>
        <w:t>A consultation poster was produced and these were placed in prominent places around the area. We also created an email footer telling people about our consultation both gave clients the opportunity to respond on-line, by post or in person.</w:t>
      </w:r>
    </w:p>
    <w:p w:rsidR="00603397" w:rsidRDefault="00EB28D6" w:rsidP="00BE4593">
      <w:pPr>
        <w:pStyle w:val="ListParagraph"/>
        <w:ind w:left="426" w:hanging="426"/>
      </w:pPr>
      <w:r>
        <w:t>Emails were sent out to all members asking them to let their constituents know about the consultation and outlining the proposals, again a paper copy was given in case people wanted to respond using this method.</w:t>
      </w:r>
    </w:p>
    <w:p w:rsidR="00EB28D6" w:rsidRPr="00EB28D6" w:rsidRDefault="00EB28D6" w:rsidP="00BE4593">
      <w:pPr>
        <w:pStyle w:val="ListParagraph"/>
        <w:ind w:left="426" w:hanging="426"/>
      </w:pPr>
      <w:r>
        <w:t>At various events we attended we gave out flyers outlining the consultation, giving the link and paper copies of the consultation. We also took paper copies out to any clients we visited over this period to enable them to respond.</w:t>
      </w:r>
    </w:p>
    <w:p w:rsidR="00EB28D6" w:rsidRPr="00603397" w:rsidRDefault="00EB28D6" w:rsidP="00EB28D6">
      <w:pPr>
        <w:pStyle w:val="ListParagraph"/>
        <w:numPr>
          <w:ilvl w:val="0"/>
          <w:numId w:val="0"/>
        </w:numPr>
        <w:ind w:left="426"/>
        <w:rPr>
          <w:b/>
        </w:rPr>
      </w:pPr>
    </w:p>
    <w:p w:rsidR="00EE0ED7" w:rsidRPr="00603397" w:rsidRDefault="005E3D46" w:rsidP="00603397">
      <w:pPr>
        <w:rPr>
          <w:b/>
        </w:rPr>
      </w:pPr>
      <w:r w:rsidRPr="00603397">
        <w:rPr>
          <w:b/>
        </w:rPr>
        <w:t>Headline results</w:t>
      </w:r>
    </w:p>
    <w:p w:rsidR="005E3D46" w:rsidRDefault="005E3D46" w:rsidP="004271CD">
      <w:pPr>
        <w:pStyle w:val="ListParagraph"/>
      </w:pPr>
      <w:r>
        <w:t>The main findings of the policy are as fol</w:t>
      </w:r>
      <w:r w:rsidR="00447C90">
        <w:t>lows:</w:t>
      </w:r>
    </w:p>
    <w:p w:rsidR="004271CD" w:rsidRPr="004271CD" w:rsidRDefault="004271CD" w:rsidP="004271CD">
      <w:pPr>
        <w:pStyle w:val="ListParagraph"/>
      </w:pPr>
      <w:r w:rsidRPr="004271CD">
        <w:t xml:space="preserve">Q1 - </w:t>
      </w:r>
      <w:r w:rsidR="00447C90">
        <w:t>91% of respondents agreed or s</w:t>
      </w:r>
      <w:r w:rsidR="00447C90" w:rsidRPr="004271CD">
        <w:t xml:space="preserve">trongly </w:t>
      </w:r>
      <w:r w:rsidR="00447C90">
        <w:t>agreed</w:t>
      </w:r>
      <w:r w:rsidR="00447C90" w:rsidRPr="004271CD">
        <w:t xml:space="preserve"> </w:t>
      </w:r>
      <w:r w:rsidR="00447C90">
        <w:t>t</w:t>
      </w:r>
      <w:r w:rsidRPr="004271CD">
        <w:t xml:space="preserve">hat the aims of the new policy are </w:t>
      </w:r>
      <w:r w:rsidR="00447C90">
        <w:t>c</w:t>
      </w:r>
      <w:r w:rsidRPr="004271CD">
        <w:t xml:space="preserve">ontribute to reducing hospital admissions and speeding </w:t>
      </w:r>
      <w:r w:rsidR="00447C90">
        <w:t>up hospital discharge.</w:t>
      </w:r>
    </w:p>
    <w:p w:rsidR="004271CD" w:rsidRPr="004271CD" w:rsidRDefault="004271CD" w:rsidP="004271CD">
      <w:pPr>
        <w:pStyle w:val="ListParagraph"/>
      </w:pPr>
      <w:r w:rsidRPr="004271CD">
        <w:t xml:space="preserve">Q2 - </w:t>
      </w:r>
      <w:r w:rsidR="00447C90">
        <w:t>91% of respondents agreed or strongly agreed</w:t>
      </w:r>
      <w:r w:rsidR="00447C90" w:rsidRPr="004271CD">
        <w:t xml:space="preserve"> </w:t>
      </w:r>
      <w:r w:rsidR="00447C90">
        <w:t xml:space="preserve">that the Council </w:t>
      </w:r>
      <w:r w:rsidRPr="004271CD">
        <w:t>should increase the Discretionary Disabled Facilities Grant from £5K to £10K, to reflect the increase in building costs s</w:t>
      </w:r>
      <w:r w:rsidR="00447C90">
        <w:t>ince the initial policy in 2008.</w:t>
      </w:r>
    </w:p>
    <w:p w:rsidR="004271CD" w:rsidRDefault="004271CD" w:rsidP="004271CD">
      <w:pPr>
        <w:pStyle w:val="ListParagraph"/>
      </w:pPr>
      <w:r w:rsidRPr="004271CD">
        <w:lastRenderedPageBreak/>
        <w:t xml:space="preserve">Q3 - </w:t>
      </w:r>
      <w:r w:rsidR="00447C90">
        <w:t xml:space="preserve">90% of respondents agreed or strongly agreed that the Council </w:t>
      </w:r>
      <w:r w:rsidRPr="004271CD">
        <w:t>should create a new Safe and Secure grant to help reduce falls for the most v</w:t>
      </w:r>
      <w:r w:rsidR="00447C90">
        <w:t>ulnerable people of Oxford City.</w:t>
      </w:r>
    </w:p>
    <w:p w:rsidR="004C4CEE" w:rsidRPr="004271CD" w:rsidRDefault="004C4CEE" w:rsidP="004C4CEE">
      <w:pPr>
        <w:pStyle w:val="ListParagraph"/>
        <w:numPr>
          <w:ilvl w:val="0"/>
          <w:numId w:val="0"/>
        </w:numPr>
        <w:ind w:left="360"/>
      </w:pPr>
    </w:p>
    <w:p w:rsidR="004271CD" w:rsidRPr="004271CD" w:rsidRDefault="004271CD" w:rsidP="00111703">
      <w:pPr>
        <w:pStyle w:val="ListParagraph"/>
      </w:pPr>
      <w:r w:rsidRPr="004271CD">
        <w:t xml:space="preserve">Q4 - </w:t>
      </w:r>
      <w:r w:rsidR="00447C90">
        <w:t xml:space="preserve">59% of respondents agreed or strongly agreed that the Council </w:t>
      </w:r>
      <w:r w:rsidRPr="004271CD">
        <w:t>should create a new discretionary Adapted Homes Grant (S</w:t>
      </w:r>
      <w:r w:rsidR="00447C90">
        <w:t>ection 4) with no means testing.</w:t>
      </w:r>
      <w:r w:rsidR="00111703">
        <w:t xml:space="preserve"> </w:t>
      </w:r>
      <w:r w:rsidR="00111703" w:rsidRPr="00111703">
        <w:t xml:space="preserve">28% </w:t>
      </w:r>
      <w:r w:rsidR="00111703">
        <w:t xml:space="preserve">of respondents </w:t>
      </w:r>
      <w:r w:rsidR="00111703" w:rsidRPr="00111703">
        <w:t>disagreed or strongly disagreed with this question</w:t>
      </w:r>
      <w:r w:rsidR="00111703">
        <w:t>.</w:t>
      </w:r>
    </w:p>
    <w:p w:rsidR="002E4134" w:rsidRDefault="00447C90" w:rsidP="00994FE2">
      <w:pPr>
        <w:pStyle w:val="ListParagraph"/>
        <w:numPr>
          <w:ilvl w:val="0"/>
          <w:numId w:val="10"/>
        </w:numPr>
      </w:pPr>
      <w:r>
        <w:t>Comments received with this question include the following:</w:t>
      </w:r>
    </w:p>
    <w:p w:rsidR="00B67242" w:rsidRDefault="00B67242" w:rsidP="00447C90">
      <w:pPr>
        <w:pStyle w:val="ListParagraph"/>
        <w:numPr>
          <w:ilvl w:val="0"/>
          <w:numId w:val="13"/>
        </w:numPr>
      </w:pPr>
      <w:r>
        <w:t>“</w:t>
      </w:r>
      <w:r w:rsidRPr="004271CD">
        <w:t>I believe this will significantly contribute to the aim of reducing hospital admissions/enabling discharge. Will speed up applications. Will also reduce the number of clients who withdraw from DFG process on financial grounds and as a result remain at high risk of injury or other risks to health that could result in hospital admission</w:t>
      </w:r>
      <w:r>
        <w:t>”</w:t>
      </w:r>
    </w:p>
    <w:p w:rsidR="00AF0572" w:rsidRDefault="00447C90" w:rsidP="00447C90">
      <w:pPr>
        <w:pStyle w:val="ListParagraph"/>
        <w:numPr>
          <w:ilvl w:val="0"/>
          <w:numId w:val="13"/>
        </w:numPr>
      </w:pPr>
      <w:r>
        <w:t xml:space="preserve">I </w:t>
      </w:r>
      <w:r w:rsidR="00B67242" w:rsidRPr="004271CD">
        <w:t xml:space="preserve">disagree somewhat with regards to this. If someone can afford the adaptations (and the means test used for the DFG is fit for purpose) then why should they not </w:t>
      </w:r>
      <w:proofErr w:type="gramStart"/>
      <w:r w:rsidR="00B67242" w:rsidRPr="004271CD">
        <w:t>pay.</w:t>
      </w:r>
      <w:proofErr w:type="gramEnd"/>
      <w:r w:rsidR="00B67242" w:rsidRPr="004271CD">
        <w:t xml:space="preserve"> Also If there is surplus money, could we not offer extended warranties; service and maintenance on items being installed.</w:t>
      </w:r>
      <w:r w:rsidR="00B67242">
        <w:t>”</w:t>
      </w:r>
    </w:p>
    <w:p w:rsidR="004C4CEE" w:rsidRPr="00416792" w:rsidRDefault="004C4CEE" w:rsidP="00416792">
      <w:pPr>
        <w:pStyle w:val="ListParagraph"/>
        <w:numPr>
          <w:ilvl w:val="0"/>
          <w:numId w:val="10"/>
        </w:numPr>
      </w:pPr>
      <w:r w:rsidRPr="00416792">
        <w:t xml:space="preserve">In answer to (ii) </w:t>
      </w:r>
      <w:proofErr w:type="gramStart"/>
      <w:r w:rsidRPr="00416792">
        <w:t>The</w:t>
      </w:r>
      <w:proofErr w:type="gramEnd"/>
      <w:r w:rsidRPr="00416792">
        <w:t xml:space="preserve"> government has agreed that the DFG means test is outdated and not fit for purpose as it has been unchanged since 1996. They have asked that local council address this using their powers under the RRO in order to meet local priorities.</w:t>
      </w:r>
    </w:p>
    <w:p w:rsidR="004C4CEE" w:rsidRDefault="004C4CEE" w:rsidP="004C4CEE">
      <w:pPr>
        <w:pStyle w:val="ListParagraph"/>
        <w:numPr>
          <w:ilvl w:val="0"/>
          <w:numId w:val="0"/>
        </w:numPr>
        <w:ind w:left="2160"/>
      </w:pPr>
    </w:p>
    <w:p w:rsidR="004271CD" w:rsidRPr="004271CD" w:rsidRDefault="004C4CEE" w:rsidP="004C4CEE">
      <w:pPr>
        <w:pStyle w:val="ListParagraph"/>
      </w:pPr>
      <w:r>
        <w:t>Q</w:t>
      </w:r>
      <w:r w:rsidR="004271CD" w:rsidRPr="004271CD">
        <w:t xml:space="preserve">5 - </w:t>
      </w:r>
      <w:r w:rsidR="00447C90">
        <w:t>54</w:t>
      </w:r>
      <w:r w:rsidR="00447C90" w:rsidRPr="007554EF">
        <w:t>% of respondents agreed or strongly agreed</w:t>
      </w:r>
      <w:r w:rsidR="00447C90" w:rsidRPr="004271CD">
        <w:t xml:space="preserve"> </w:t>
      </w:r>
      <w:r w:rsidR="00447C90">
        <w:t xml:space="preserve">that the </w:t>
      </w:r>
      <w:r w:rsidR="004271CD" w:rsidRPr="004271CD">
        <w:t>maximum value of or the Adapted Homes Grant</w:t>
      </w:r>
      <w:r w:rsidR="00447C90">
        <w:t xml:space="preserve"> should be</w:t>
      </w:r>
      <w:r w:rsidR="004271CD" w:rsidRPr="004271CD">
        <w:t xml:space="preserve"> </w:t>
      </w:r>
      <w:r w:rsidR="00447C90" w:rsidRPr="004271CD">
        <w:t>£5,000</w:t>
      </w:r>
      <w:r w:rsidR="00111703">
        <w:t>. 14</w:t>
      </w:r>
      <w:r w:rsidR="00111703" w:rsidRPr="007554EF">
        <w:t>% Disagreed or strongly disagreed with this question</w:t>
      </w:r>
      <w:r w:rsidR="00111703">
        <w:t>.</w:t>
      </w:r>
    </w:p>
    <w:p w:rsidR="00447C90" w:rsidRDefault="00447C90" w:rsidP="00333A0D">
      <w:pPr>
        <w:pStyle w:val="ListParagraph"/>
        <w:numPr>
          <w:ilvl w:val="0"/>
          <w:numId w:val="14"/>
        </w:numPr>
        <w:ind w:firstLine="66"/>
      </w:pPr>
      <w:r>
        <w:t>Comments received with this question include the following:</w:t>
      </w:r>
    </w:p>
    <w:p w:rsidR="007554EF" w:rsidRPr="007554EF" w:rsidRDefault="007554EF" w:rsidP="00333A0D">
      <w:pPr>
        <w:pStyle w:val="ListParagraph"/>
        <w:numPr>
          <w:ilvl w:val="1"/>
          <w:numId w:val="15"/>
        </w:numPr>
        <w:ind w:left="2127" w:hanging="567"/>
      </w:pPr>
      <w:r w:rsidRPr="004271CD">
        <w:t>Do you need to look back at how many cases needed stairlift AND bathroom adaptations (a common combination) as £5K would not cover cost of both</w:t>
      </w:r>
      <w:r>
        <w:t>”</w:t>
      </w:r>
    </w:p>
    <w:p w:rsidR="004271CD" w:rsidRDefault="007554EF" w:rsidP="00333A0D">
      <w:pPr>
        <w:pStyle w:val="ListParagraph"/>
        <w:numPr>
          <w:ilvl w:val="1"/>
          <w:numId w:val="15"/>
        </w:numPr>
        <w:ind w:left="2127" w:hanging="426"/>
      </w:pPr>
      <w:r w:rsidRPr="004271CD">
        <w:t>A Level access shower or curved stairlift can hit the £5000 mark, perhaps needs to be 6K or 7K to enable 1 adaptation</w:t>
      </w:r>
      <w:r>
        <w:t>”</w:t>
      </w:r>
    </w:p>
    <w:p w:rsidR="004C4CEE" w:rsidRDefault="004C4CEE" w:rsidP="004C4CEE">
      <w:pPr>
        <w:pStyle w:val="ListParagraph"/>
        <w:numPr>
          <w:ilvl w:val="0"/>
          <w:numId w:val="0"/>
        </w:numPr>
        <w:ind w:left="2127"/>
      </w:pPr>
    </w:p>
    <w:p w:rsidR="007C5523" w:rsidRDefault="007C5523" w:rsidP="00111703">
      <w:pPr>
        <w:pStyle w:val="ListParagraph"/>
      </w:pPr>
      <w:r>
        <w:t xml:space="preserve">In 2016/17 we had 6 double adaptations </w:t>
      </w:r>
      <w:r w:rsidR="00080581">
        <w:t xml:space="preserve">at an </w:t>
      </w:r>
      <w:r>
        <w:t xml:space="preserve">average cost </w:t>
      </w:r>
      <w:r w:rsidR="00080581">
        <w:t xml:space="preserve">of </w:t>
      </w:r>
      <w:r>
        <w:t>£6,791.9</w:t>
      </w:r>
      <w:r w:rsidR="00080581">
        <w:t xml:space="preserve">2, </w:t>
      </w:r>
      <w:proofErr w:type="gramStart"/>
      <w:r w:rsidR="00080581">
        <w:t>In</w:t>
      </w:r>
      <w:proofErr w:type="gramEnd"/>
      <w:r w:rsidR="00080581">
        <w:t xml:space="preserve"> 2017/18 we had 7</w:t>
      </w:r>
      <w:r>
        <w:t xml:space="preserve"> </w:t>
      </w:r>
      <w:r w:rsidRPr="007C5523">
        <w:t xml:space="preserve">double adaptations </w:t>
      </w:r>
      <w:r w:rsidR="00080581">
        <w:t xml:space="preserve">at an </w:t>
      </w:r>
      <w:r w:rsidRPr="007C5523">
        <w:t>average cost</w:t>
      </w:r>
      <w:r>
        <w:t xml:space="preserve"> </w:t>
      </w:r>
      <w:r w:rsidR="00080581">
        <w:t xml:space="preserve">of </w:t>
      </w:r>
      <w:r>
        <w:t>£7,090.10.</w:t>
      </w:r>
    </w:p>
    <w:p w:rsidR="00F32F9E" w:rsidRDefault="00333A0D" w:rsidP="00111703">
      <w:pPr>
        <w:pStyle w:val="ListParagraph"/>
      </w:pPr>
      <w:r>
        <w:t>In response to the comments made in the consultation w</w:t>
      </w:r>
      <w:r w:rsidR="00F32F9E">
        <w:t xml:space="preserve">e are proposing </w:t>
      </w:r>
      <w:r>
        <w:t>an</w:t>
      </w:r>
      <w:r w:rsidR="00F32F9E">
        <w:t xml:space="preserve"> amend</w:t>
      </w:r>
      <w:r>
        <w:t>ment to</w:t>
      </w:r>
      <w:r w:rsidR="00F32F9E">
        <w:t xml:space="preserve"> the </w:t>
      </w:r>
      <w:r w:rsidR="007C5523" w:rsidRPr="007C5523">
        <w:t xml:space="preserve">maximum Adapted Homes Grant to £8K to cover </w:t>
      </w:r>
      <w:r w:rsidR="00F32F9E">
        <w:t>these occasional double adaptations, the a</w:t>
      </w:r>
      <w:r w:rsidR="007C5523" w:rsidRPr="007C5523">
        <w:t>dditional cost impact will be small</w:t>
      </w:r>
      <w:r w:rsidR="00F32F9E">
        <w:t xml:space="preserve"> and we </w:t>
      </w:r>
      <w:r>
        <w:t xml:space="preserve">currently </w:t>
      </w:r>
      <w:r w:rsidR="00F32F9E">
        <w:t>have extensive funds to cover this</w:t>
      </w:r>
      <w:r>
        <w:t xml:space="preserve"> increase</w:t>
      </w:r>
      <w:r w:rsidR="007C5523" w:rsidRPr="007C5523">
        <w:t>.</w:t>
      </w:r>
      <w:r w:rsidR="00F32F9E">
        <w:t xml:space="preserve"> </w:t>
      </w:r>
      <w:r>
        <w:t>In addition,</w:t>
      </w:r>
      <w:r w:rsidR="00F32F9E">
        <w:t xml:space="preserve"> the Adapted Homes Grant is a discretionary grant </w:t>
      </w:r>
      <w:r>
        <w:t xml:space="preserve">so </w:t>
      </w:r>
      <w:r w:rsidR="00F32F9E">
        <w:t>it can be withdrawn at any time if funds are limited.</w:t>
      </w:r>
    </w:p>
    <w:p w:rsidR="004C4CEE" w:rsidRDefault="004C4CEE" w:rsidP="004C4CEE">
      <w:pPr>
        <w:pStyle w:val="ListParagraph"/>
        <w:numPr>
          <w:ilvl w:val="0"/>
          <w:numId w:val="0"/>
        </w:numPr>
        <w:ind w:left="360"/>
      </w:pPr>
    </w:p>
    <w:p w:rsidR="004C4CEE" w:rsidRDefault="004C4CEE" w:rsidP="004C4CEE">
      <w:pPr>
        <w:pStyle w:val="ListParagraph"/>
        <w:numPr>
          <w:ilvl w:val="0"/>
          <w:numId w:val="0"/>
        </w:numPr>
        <w:ind w:left="360"/>
      </w:pPr>
    </w:p>
    <w:p w:rsidR="00080581" w:rsidRDefault="00080581" w:rsidP="00080581">
      <w:pPr>
        <w:pStyle w:val="Heading1"/>
      </w:pPr>
      <w:r>
        <w:lastRenderedPageBreak/>
        <w:t xml:space="preserve">Recommendations </w:t>
      </w:r>
    </w:p>
    <w:p w:rsidR="00080581" w:rsidRDefault="00080581" w:rsidP="00080581">
      <w:pPr>
        <w:pStyle w:val="ListParagraph"/>
      </w:pPr>
      <w:r>
        <w:t xml:space="preserve">Following the </w:t>
      </w:r>
      <w:r w:rsidR="00994FE2">
        <w:t>consultation</w:t>
      </w:r>
      <w:r>
        <w:t xml:space="preserve"> we are asking the board to consider approving</w:t>
      </w:r>
      <w:r w:rsidRPr="00080581">
        <w:t xml:space="preserve"> the draft Housing Assistance and Disabled Adaptation Policy</w:t>
      </w:r>
      <w:r>
        <w:t xml:space="preserve"> with </w:t>
      </w:r>
      <w:r w:rsidR="00333A0D">
        <w:t>the following change:</w:t>
      </w:r>
      <w:r w:rsidRPr="00080581">
        <w:t>.</w:t>
      </w:r>
    </w:p>
    <w:p w:rsidR="00080581" w:rsidRPr="008C2400" w:rsidRDefault="00080581" w:rsidP="00994FE2">
      <w:pPr>
        <w:pStyle w:val="ListParagraph"/>
        <w:numPr>
          <w:ilvl w:val="0"/>
          <w:numId w:val="12"/>
        </w:numPr>
        <w:rPr>
          <w:color w:val="auto"/>
        </w:rPr>
      </w:pPr>
      <w:r w:rsidRPr="008C2400">
        <w:rPr>
          <w:color w:val="auto"/>
        </w:rPr>
        <w:t xml:space="preserve">Amend the maximum Adapted Homes Grant to £8K </w:t>
      </w:r>
    </w:p>
    <w:p w:rsidR="00EE0ED7" w:rsidRPr="00333A0D" w:rsidRDefault="00333A0D" w:rsidP="00333A0D">
      <w:pPr>
        <w:pStyle w:val="ListParagraph"/>
        <w:rPr>
          <w:b/>
          <w:color w:val="FF0000"/>
        </w:rPr>
      </w:pPr>
      <w:r>
        <w:t>In addition, it will be made more explicit in t</w:t>
      </w:r>
      <w:r w:rsidR="008C2400" w:rsidRPr="00333A0D">
        <w:t>he introduction to the policy that the HIA</w:t>
      </w:r>
      <w:r>
        <w:t>,</w:t>
      </w:r>
      <w:r w:rsidR="008C2400" w:rsidRPr="00333A0D">
        <w:t xml:space="preserve"> as required by the contract with the </w:t>
      </w:r>
      <w:r>
        <w:t xml:space="preserve">Oxfordshire </w:t>
      </w:r>
      <w:r w:rsidR="008C2400" w:rsidRPr="00333A0D">
        <w:t xml:space="preserve">County </w:t>
      </w:r>
      <w:r>
        <w:t xml:space="preserve">Council, </w:t>
      </w:r>
      <w:r w:rsidR="008C2400" w:rsidRPr="00333A0D">
        <w:t xml:space="preserve">will offer advice and information </w:t>
      </w:r>
      <w:r w:rsidR="008C2400">
        <w:t xml:space="preserve">to older, disabled and vulnerable clients regardless of whether they are eligible for financial assistance.  </w:t>
      </w:r>
    </w:p>
    <w:p w:rsidR="0040736F" w:rsidRPr="001356F1" w:rsidRDefault="002329CF" w:rsidP="004A6D2F">
      <w:pPr>
        <w:pStyle w:val="Heading1"/>
      </w:pPr>
      <w:r w:rsidRPr="001356F1">
        <w:t>Financial implications</w:t>
      </w:r>
    </w:p>
    <w:p w:rsidR="00333A0D" w:rsidRDefault="004C2502" w:rsidP="00385147">
      <w:pPr>
        <w:pStyle w:val="ListParagraph"/>
      </w:pPr>
      <w:r w:rsidRPr="004C2502">
        <w:t>The Council is</w:t>
      </w:r>
      <w:r w:rsidR="00A802A4">
        <w:t xml:space="preserve"> duty bound to approve complete</w:t>
      </w:r>
      <w:r w:rsidRPr="004C2502">
        <w:t xml:space="preserve"> mandatory Disabled Facilities Grants (DFG) applications. </w:t>
      </w:r>
      <w:r w:rsidR="00385147">
        <w:t xml:space="preserve">The </w:t>
      </w:r>
      <w:r w:rsidR="00BC2B5A">
        <w:t xml:space="preserve">Council </w:t>
      </w:r>
      <w:r w:rsidR="00385147">
        <w:t xml:space="preserve">has not </w:t>
      </w:r>
      <w:r w:rsidR="00BC2B5A">
        <w:t>contribute</w:t>
      </w:r>
      <w:r w:rsidR="00333A0D">
        <w:t>d</w:t>
      </w:r>
      <w:r w:rsidR="00BC2B5A">
        <w:t xml:space="preserve"> towards the DFG budget</w:t>
      </w:r>
      <w:r w:rsidR="00BC2B5A" w:rsidRPr="004C2502">
        <w:t xml:space="preserve"> </w:t>
      </w:r>
      <w:r w:rsidR="00385147">
        <w:t xml:space="preserve">since 2015 as </w:t>
      </w:r>
      <w:r w:rsidR="00611FA8">
        <w:t xml:space="preserve">all </w:t>
      </w:r>
      <w:r w:rsidRPr="004C2502">
        <w:t xml:space="preserve">the funding for DFG </w:t>
      </w:r>
      <w:r w:rsidR="00A802A4">
        <w:t xml:space="preserve">now </w:t>
      </w:r>
      <w:r w:rsidRPr="004C2502">
        <w:t>comes from the B</w:t>
      </w:r>
      <w:r w:rsidR="00333A0D">
        <w:t xml:space="preserve">etter </w:t>
      </w:r>
      <w:r w:rsidRPr="004C2502">
        <w:t>C</w:t>
      </w:r>
      <w:r w:rsidR="00333A0D">
        <w:t xml:space="preserve">are </w:t>
      </w:r>
      <w:r w:rsidRPr="004C2502">
        <w:t>F</w:t>
      </w:r>
      <w:r w:rsidR="00333A0D">
        <w:t>und (BCF)</w:t>
      </w:r>
      <w:r w:rsidR="00385147">
        <w:t>.</w:t>
      </w:r>
      <w:r w:rsidRPr="004C2502">
        <w:t xml:space="preserve"> </w:t>
      </w:r>
    </w:p>
    <w:p w:rsidR="00BC2B5A" w:rsidRDefault="004C2502" w:rsidP="00385147">
      <w:pPr>
        <w:pStyle w:val="ListParagraph"/>
      </w:pPr>
      <w:r w:rsidRPr="004C2502">
        <w:t xml:space="preserve">The expectation is that the increased funding </w:t>
      </w:r>
      <w:r w:rsidR="00333A0D">
        <w:t xml:space="preserve">provided to the Council </w:t>
      </w:r>
      <w:r w:rsidRPr="004C2502">
        <w:t xml:space="preserve">will be used in innovative ways to meet the aims of the BCF to reduce costs especially around hospital admissions and delayed discharge. </w:t>
      </w:r>
      <w:r w:rsidR="00611FA8">
        <w:t xml:space="preserve">The primary reason for updating the policy is to enable the council to fully spend and commit its funding allocation under the BCF. </w:t>
      </w:r>
      <w:r w:rsidR="00333A0D">
        <w:t xml:space="preserve">There financial implications are that the Council will have a more flexible policy to enable increased spending to help people in accordance with the aims of the Council and the BCF. </w:t>
      </w:r>
    </w:p>
    <w:p w:rsidR="0058272E" w:rsidRDefault="00B94C36" w:rsidP="00385147">
      <w:pPr>
        <w:pStyle w:val="ListParagraph"/>
      </w:pPr>
      <w:r>
        <w:t>No additional staff will be required to deliver the proposed changes</w:t>
      </w:r>
      <w:r w:rsidR="00385147" w:rsidRPr="00385147">
        <w:t xml:space="preserve"> </w:t>
      </w:r>
      <w:r w:rsidR="00385147">
        <w:t>a</w:t>
      </w:r>
      <w:r w:rsidR="00333A0D">
        <w:t>nd</w:t>
      </w:r>
      <w:r w:rsidR="00385147">
        <w:t xml:space="preserve"> t</w:t>
      </w:r>
      <w:r w:rsidR="00385147" w:rsidRPr="00385147">
        <w:t>he costs of management and administration of the grants are covered by the fund</w:t>
      </w:r>
      <w:r>
        <w:t xml:space="preserve">. </w:t>
      </w:r>
    </w:p>
    <w:p w:rsidR="00BC2B5A" w:rsidRDefault="00BC2B5A" w:rsidP="00FC2C41">
      <w:pPr>
        <w:pStyle w:val="ListParagraph"/>
      </w:pPr>
      <w:r>
        <w:t xml:space="preserve">The future budget for discretionary housing assistance </w:t>
      </w:r>
      <w:r w:rsidR="00333A0D">
        <w:t xml:space="preserve">provided to the Council from the Government </w:t>
      </w:r>
      <w:r>
        <w:t>has yet to be decided and will form part of the 2018/19 budget process.</w:t>
      </w:r>
    </w:p>
    <w:p w:rsidR="00333A0D" w:rsidRPr="00333A0D" w:rsidRDefault="00DA614B" w:rsidP="00601A90">
      <w:pPr>
        <w:pStyle w:val="Heading1"/>
        <w:spacing w:after="0"/>
      </w:pPr>
      <w:r w:rsidRPr="001356F1">
        <w:t>Legal issues</w:t>
      </w:r>
    </w:p>
    <w:p w:rsidR="00206520" w:rsidRPr="00206520" w:rsidRDefault="00206520" w:rsidP="00B758D0">
      <w:pPr>
        <w:pStyle w:val="ListParagraph"/>
        <w:spacing w:after="0"/>
      </w:pPr>
      <w:r>
        <w:t>No</w:t>
      </w:r>
      <w:r w:rsidR="004C2502">
        <w:t xml:space="preserve"> legal issues have been identified.</w:t>
      </w:r>
    </w:p>
    <w:p w:rsidR="00B758D0" w:rsidRDefault="00B758D0" w:rsidP="00B758D0">
      <w:pPr>
        <w:pStyle w:val="Heading1"/>
        <w:spacing w:before="0" w:after="0"/>
      </w:pPr>
    </w:p>
    <w:p w:rsidR="002329CF" w:rsidRDefault="002329CF" w:rsidP="00B758D0">
      <w:pPr>
        <w:pStyle w:val="Heading1"/>
        <w:spacing w:before="0" w:after="0"/>
      </w:pPr>
      <w:r w:rsidRPr="001356F1">
        <w:t>Level of risk</w:t>
      </w:r>
    </w:p>
    <w:p w:rsidR="00B30334" w:rsidRDefault="00B30334" w:rsidP="00601A90">
      <w:pPr>
        <w:pStyle w:val="ListParagraph"/>
        <w:rPr>
          <w:b/>
        </w:rPr>
      </w:pPr>
      <w:r w:rsidRPr="00B758D0">
        <w:t xml:space="preserve">A risk register is attached as Appendix 3. </w:t>
      </w:r>
    </w:p>
    <w:p w:rsidR="00B758D0" w:rsidRPr="00B758D0" w:rsidRDefault="00B758D0" w:rsidP="00B758D0"/>
    <w:p w:rsidR="00B30334" w:rsidRDefault="00B30334" w:rsidP="00B758D0">
      <w:pPr>
        <w:pStyle w:val="Heading1"/>
        <w:spacing w:before="0" w:after="0"/>
      </w:pPr>
      <w:r w:rsidRPr="00B30334">
        <w:t xml:space="preserve">Equality Impact Assessment  </w:t>
      </w:r>
    </w:p>
    <w:p w:rsidR="002329CF" w:rsidRDefault="00B30334" w:rsidP="00601A90">
      <w:pPr>
        <w:pStyle w:val="ListParagraph"/>
        <w:rPr>
          <w:b/>
        </w:rPr>
      </w:pPr>
      <w:r w:rsidRPr="00B758D0">
        <w:t>An EIA has been completed and attached as Appendix 4</w:t>
      </w:r>
    </w:p>
    <w:p w:rsidR="009A218A" w:rsidRPr="009A218A" w:rsidRDefault="009A218A" w:rsidP="009A218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A2235" w:rsidP="00A46E98">
            <w:r>
              <w:t>Becky Bell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962D2" w:rsidP="00A46E98">
            <w:r>
              <w:t>HIA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962D2" w:rsidP="00A46E98">
            <w:r w:rsidRPr="00F962D2">
              <w:t>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962D2" w:rsidP="00A46E98">
            <w:r>
              <w:t xml:space="preserve">01865 </w:t>
            </w:r>
            <w:r w:rsidRPr="00F962D2">
              <w:t>529192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962D2" w:rsidP="00A46E98">
            <w:pPr>
              <w:rPr>
                <w:rStyle w:val="Hyperlink"/>
                <w:color w:val="000000"/>
              </w:rPr>
            </w:pPr>
            <w:r>
              <w:rPr>
                <w:rStyle w:val="Hyperlink"/>
                <w:color w:val="000000"/>
              </w:rPr>
              <w:t>rbell@oxford.gov.uk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9117"/>
      </w:tblGrid>
      <w:tr w:rsidR="00DF093E" w:rsidRPr="001356F1" w:rsidTr="00841D0B">
        <w:tc>
          <w:tcPr>
            <w:tcW w:w="9406"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r w:rsidR="00DF093E" w:rsidRPr="001356F1" w:rsidTr="00841D0B">
        <w:tc>
          <w:tcPr>
            <w:tcW w:w="289"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9117" w:type="dxa"/>
            <w:tcBorders>
              <w:top w:val="single" w:sz="8" w:space="0" w:color="000000"/>
              <w:left w:val="nil"/>
              <w:bottom w:val="nil"/>
              <w:right w:val="single" w:sz="8" w:space="0" w:color="000000"/>
            </w:tcBorders>
          </w:tcPr>
          <w:p w:rsidR="0093067A" w:rsidRPr="001356F1" w:rsidRDefault="00820859" w:rsidP="005D0621">
            <w:hyperlink r:id="rId9" w:history="1">
              <w:r w:rsidR="00841D0B" w:rsidRPr="00A45AF7">
                <w:rPr>
                  <w:rStyle w:val="Hyperlink"/>
                </w:rPr>
                <w:t>http://insight.oxfordshire.gov.uk/cms/system/files/documents/20160329_Needs%20Analysis%20for%20Older%20People%20in%20Oxfordshire_FINAL.pdf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9117" w:type="dxa"/>
            <w:tcBorders>
              <w:top w:val="nil"/>
              <w:left w:val="nil"/>
              <w:bottom w:val="nil"/>
              <w:right w:val="single" w:sz="8" w:space="0" w:color="000000"/>
            </w:tcBorders>
          </w:tcPr>
          <w:p w:rsidR="008C2F59" w:rsidRPr="001356F1" w:rsidRDefault="00820859" w:rsidP="00F41AC1">
            <w:hyperlink r:id="rId10" w:history="1">
              <w:r w:rsidR="00841D0B" w:rsidRPr="00A45AF7">
                <w:rPr>
                  <w:rStyle w:val="Hyperlink"/>
                </w:rPr>
                <w:t>http://www.foundations.uk.com/media/4718/preparing-a-policy-under-the-regulatory-reform-order-formatted.pdf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3</w:t>
            </w:r>
          </w:p>
        </w:tc>
        <w:tc>
          <w:tcPr>
            <w:tcW w:w="9117" w:type="dxa"/>
            <w:tcBorders>
              <w:top w:val="nil"/>
              <w:left w:val="nil"/>
              <w:bottom w:val="nil"/>
              <w:right w:val="single" w:sz="8" w:space="0" w:color="000000"/>
            </w:tcBorders>
          </w:tcPr>
          <w:p w:rsidR="00841D0B" w:rsidRPr="001356F1" w:rsidRDefault="00820859" w:rsidP="00F41AC1">
            <w:hyperlink r:id="rId11" w:history="1">
              <w:r w:rsidR="00841D0B" w:rsidRPr="00A45AF7">
                <w:rPr>
                  <w:rStyle w:val="Hyperlink"/>
                </w:rPr>
                <w:t>https://www.kingsfund.org.uk/sites/default/files/field/field_publication_file/exploring-system-wide-costs-of-falls-in-torbay-kingsfund-aug13.pdf</w:t>
              </w:r>
            </w:hyperlink>
          </w:p>
        </w:tc>
      </w:tr>
      <w:tr w:rsidR="005570B5" w:rsidRPr="00A46E98" w:rsidTr="001F3308">
        <w:tc>
          <w:tcPr>
            <w:tcW w:w="289" w:type="dxa"/>
            <w:tcBorders>
              <w:top w:val="nil"/>
              <w:left w:val="single" w:sz="8" w:space="0" w:color="000000"/>
              <w:bottom w:val="nil"/>
              <w:right w:val="nil"/>
            </w:tcBorders>
            <w:shd w:val="clear" w:color="auto" w:fill="auto"/>
          </w:tcPr>
          <w:p w:rsidR="0093067A" w:rsidRPr="00A46E98" w:rsidRDefault="00182B81" w:rsidP="00F41AC1">
            <w:r w:rsidRPr="00A46E98">
              <w:t>4</w:t>
            </w:r>
          </w:p>
        </w:tc>
        <w:tc>
          <w:tcPr>
            <w:tcW w:w="9117" w:type="dxa"/>
            <w:tcBorders>
              <w:top w:val="nil"/>
              <w:left w:val="nil"/>
              <w:bottom w:val="nil"/>
              <w:right w:val="single" w:sz="8" w:space="0" w:color="000000"/>
            </w:tcBorders>
          </w:tcPr>
          <w:p w:rsidR="00841D0B" w:rsidRPr="00A46E98" w:rsidRDefault="00820859" w:rsidP="00841D0B">
            <w:hyperlink r:id="rId12" w:history="1">
              <w:r w:rsidR="00841D0B" w:rsidRPr="00A45AF7">
                <w:rPr>
                  <w:rStyle w:val="Hyperlink"/>
                </w:rPr>
                <w:t>https://www.rcn.org.uk/-/media/royal-college-of-nursing/documents/publications/2007/november/pub-002771.pdf</w:t>
              </w:r>
            </w:hyperlink>
          </w:p>
        </w:tc>
      </w:tr>
      <w:tr w:rsidR="00841D0B" w:rsidRPr="00A46E98" w:rsidTr="001F3308">
        <w:tc>
          <w:tcPr>
            <w:tcW w:w="289" w:type="dxa"/>
            <w:tcBorders>
              <w:top w:val="nil"/>
              <w:left w:val="single" w:sz="8" w:space="0" w:color="000000"/>
              <w:bottom w:val="single" w:sz="4" w:space="0" w:color="auto"/>
              <w:right w:val="nil"/>
            </w:tcBorders>
            <w:shd w:val="clear" w:color="auto" w:fill="auto"/>
          </w:tcPr>
          <w:p w:rsidR="00841D0B" w:rsidRPr="00A46E98" w:rsidRDefault="00841D0B" w:rsidP="00F41AC1">
            <w:r>
              <w:t>5</w:t>
            </w:r>
          </w:p>
        </w:tc>
        <w:tc>
          <w:tcPr>
            <w:tcW w:w="9117" w:type="dxa"/>
            <w:tcBorders>
              <w:top w:val="nil"/>
              <w:left w:val="nil"/>
              <w:bottom w:val="single" w:sz="4" w:space="0" w:color="auto"/>
              <w:right w:val="single" w:sz="8" w:space="0" w:color="000000"/>
            </w:tcBorders>
          </w:tcPr>
          <w:p w:rsidR="000E62B3" w:rsidRDefault="00820859" w:rsidP="00841D0B">
            <w:pPr>
              <w:rPr>
                <w:rStyle w:val="Hyperlink"/>
              </w:rPr>
            </w:pPr>
            <w:hyperlink r:id="rId13" w:history="1">
              <w:r w:rsidR="000E62B3" w:rsidRPr="00D963FC">
                <w:rPr>
                  <w:rStyle w:val="Hyperlink"/>
                </w:rPr>
                <w:t>https://www.england.nhs.uk/wp-content/uploads/2017/08/bcf-planning-requirements-faqs.pdf</w:t>
              </w:r>
            </w:hyperlink>
          </w:p>
          <w:p w:rsidR="001F3308" w:rsidRDefault="001F3308" w:rsidP="00841D0B"/>
        </w:tc>
      </w:tr>
    </w:tbl>
    <w:p w:rsidR="00CE4C87" w:rsidRDefault="00CE4C87" w:rsidP="0093067A"/>
    <w:p w:rsidR="009A218A" w:rsidRDefault="009A218A" w:rsidP="0093067A"/>
    <w:p w:rsidR="009A218A" w:rsidRDefault="009A218A" w:rsidP="0093067A"/>
    <w:sectPr w:rsidR="009A218A"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6B" w:rsidRDefault="00167C6B" w:rsidP="004A6D2F">
      <w:r>
        <w:separator/>
      </w:r>
    </w:p>
  </w:endnote>
  <w:endnote w:type="continuationSeparator" w:id="0">
    <w:p w:rsidR="00167C6B" w:rsidRDefault="00167C6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6B" w:rsidRDefault="00167C6B" w:rsidP="004A6D2F">
      <w:r>
        <w:separator/>
      </w:r>
    </w:p>
  </w:footnote>
  <w:footnote w:type="continuationSeparator" w:id="0">
    <w:p w:rsidR="00167C6B" w:rsidRDefault="00167C6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80368" w:rsidP="00D5547E">
    <w:pPr>
      <w:pStyle w:val="Header"/>
      <w:jc w:val="right"/>
    </w:pPr>
    <w:r>
      <w:rPr>
        <w:noProof/>
      </w:rPr>
      <w:drawing>
        <wp:inline distT="0" distB="0" distL="0" distR="0" wp14:anchorId="72829D95" wp14:editId="17E45DC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E02A33"/>
    <w:multiLevelType w:val="multilevel"/>
    <w:tmpl w:val="510C9326"/>
    <w:lvl w:ilvl="0">
      <w:start w:val="1"/>
      <w:numFmt w:val="lowerLetter"/>
      <w:lvlText w:val="%1)"/>
      <w:lvlJc w:val="left"/>
      <w:pPr>
        <w:ind w:left="360" w:hanging="360"/>
      </w:pPr>
      <w:rPr>
        <w:rFonts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028794B"/>
    <w:multiLevelType w:val="hybridMultilevel"/>
    <w:tmpl w:val="A33EF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CC2B0E"/>
    <w:multiLevelType w:val="hybridMultilevel"/>
    <w:tmpl w:val="401C04FC"/>
    <w:lvl w:ilvl="0" w:tplc="3050B8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A694410"/>
    <w:multiLevelType w:val="multilevel"/>
    <w:tmpl w:val="9E64E3A4"/>
    <w:lvl w:ilvl="0">
      <w:start w:val="1"/>
      <w:numFmt w:val="lowerLetter"/>
      <w:lvlText w:val="%1)"/>
      <w:lvlJc w:val="left"/>
      <w:pPr>
        <w:ind w:left="360" w:hanging="360"/>
      </w:pPr>
      <w:rPr>
        <w:rFonts w:hint="default"/>
        <w:b w:val="0"/>
        <w:color w:val="000000"/>
        <w:sz w:val="24"/>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6211F51"/>
    <w:multiLevelType w:val="hybridMultilevel"/>
    <w:tmpl w:val="620865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nsid w:val="4BE858D6"/>
    <w:multiLevelType w:val="hybridMultilevel"/>
    <w:tmpl w:val="D724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C04E8"/>
    <w:multiLevelType w:val="hybridMultilevel"/>
    <w:tmpl w:val="4000B1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327536"/>
    <w:multiLevelType w:val="hybridMultilevel"/>
    <w:tmpl w:val="8DA8EEA8"/>
    <w:lvl w:ilvl="0" w:tplc="3050B8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0A6C49"/>
    <w:multiLevelType w:val="hybridMultilevel"/>
    <w:tmpl w:val="7B84FD64"/>
    <w:lvl w:ilvl="0" w:tplc="83FC01E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53594A"/>
    <w:multiLevelType w:val="hybridMultilevel"/>
    <w:tmpl w:val="90E8AD1A"/>
    <w:lvl w:ilvl="0" w:tplc="15E4201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798365C6"/>
    <w:multiLevelType w:val="multilevel"/>
    <w:tmpl w:val="FD0444F4"/>
    <w:lvl w:ilvl="0">
      <w:start w:val="1"/>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DD2321B"/>
    <w:multiLevelType w:val="hybridMultilevel"/>
    <w:tmpl w:val="A4A008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
  </w:num>
  <w:num w:numId="5">
    <w:abstractNumId w:val="11"/>
  </w:num>
  <w:num w:numId="6">
    <w:abstractNumId w:val="7"/>
  </w:num>
  <w:num w:numId="7">
    <w:abstractNumId w:val="8"/>
  </w:num>
  <w:num w:numId="8">
    <w:abstractNumId w:val="3"/>
  </w:num>
  <w:num w:numId="9">
    <w:abstractNumId w:val="13"/>
  </w:num>
  <w:num w:numId="10">
    <w:abstractNumId w:val="15"/>
  </w:num>
  <w:num w:numId="11">
    <w:abstractNumId w:val="9"/>
  </w:num>
  <w:num w:numId="12">
    <w:abstractNumId w:val="12"/>
  </w:num>
  <w:num w:numId="13">
    <w:abstractNumId w:val="10"/>
  </w:num>
  <w:num w:numId="14">
    <w:abstractNumId w:val="2"/>
  </w:num>
  <w:num w:numId="15">
    <w:abstractNumId w:val="6"/>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68"/>
    <w:rsid w:val="000117D4"/>
    <w:rsid w:val="000314D7"/>
    <w:rsid w:val="00045F8B"/>
    <w:rsid w:val="00046D2B"/>
    <w:rsid w:val="00047AD5"/>
    <w:rsid w:val="00056263"/>
    <w:rsid w:val="00064D8A"/>
    <w:rsid w:val="00064F82"/>
    <w:rsid w:val="00066510"/>
    <w:rsid w:val="00077523"/>
    <w:rsid w:val="00080581"/>
    <w:rsid w:val="00082BEC"/>
    <w:rsid w:val="000C089F"/>
    <w:rsid w:val="000C3928"/>
    <w:rsid w:val="000C486C"/>
    <w:rsid w:val="000C5E8E"/>
    <w:rsid w:val="000D76B3"/>
    <w:rsid w:val="000E3E65"/>
    <w:rsid w:val="000E62B3"/>
    <w:rsid w:val="000F4751"/>
    <w:rsid w:val="001048B6"/>
    <w:rsid w:val="0010524C"/>
    <w:rsid w:val="00111703"/>
    <w:rsid w:val="00111FB1"/>
    <w:rsid w:val="00113418"/>
    <w:rsid w:val="0012343F"/>
    <w:rsid w:val="001356F1"/>
    <w:rsid w:val="00136994"/>
    <w:rsid w:val="0014128E"/>
    <w:rsid w:val="00151888"/>
    <w:rsid w:val="00167C6B"/>
    <w:rsid w:val="00170A2D"/>
    <w:rsid w:val="00170C26"/>
    <w:rsid w:val="001808BC"/>
    <w:rsid w:val="00182B81"/>
    <w:rsid w:val="0018619D"/>
    <w:rsid w:val="00195F50"/>
    <w:rsid w:val="001A011E"/>
    <w:rsid w:val="001A066A"/>
    <w:rsid w:val="001A13E6"/>
    <w:rsid w:val="001A5731"/>
    <w:rsid w:val="001B42C3"/>
    <w:rsid w:val="001C5D5E"/>
    <w:rsid w:val="001D678D"/>
    <w:rsid w:val="001E03F8"/>
    <w:rsid w:val="001E1678"/>
    <w:rsid w:val="001E3376"/>
    <w:rsid w:val="001F284E"/>
    <w:rsid w:val="001F3308"/>
    <w:rsid w:val="00206520"/>
    <w:rsid w:val="002069B3"/>
    <w:rsid w:val="0021401A"/>
    <w:rsid w:val="00227AB8"/>
    <w:rsid w:val="002329CF"/>
    <w:rsid w:val="00232F5B"/>
    <w:rsid w:val="00247C29"/>
    <w:rsid w:val="002573EF"/>
    <w:rsid w:val="00260467"/>
    <w:rsid w:val="00263EA3"/>
    <w:rsid w:val="00284F85"/>
    <w:rsid w:val="00290915"/>
    <w:rsid w:val="002A22E2"/>
    <w:rsid w:val="002C171B"/>
    <w:rsid w:val="002C64F7"/>
    <w:rsid w:val="002E4134"/>
    <w:rsid w:val="002F3843"/>
    <w:rsid w:val="002F41F2"/>
    <w:rsid w:val="00301BF3"/>
    <w:rsid w:val="0030208D"/>
    <w:rsid w:val="003035D1"/>
    <w:rsid w:val="00323418"/>
    <w:rsid w:val="00327347"/>
    <w:rsid w:val="0033362D"/>
    <w:rsid w:val="00333A0D"/>
    <w:rsid w:val="003357BF"/>
    <w:rsid w:val="00363622"/>
    <w:rsid w:val="00364FAD"/>
    <w:rsid w:val="0036738F"/>
    <w:rsid w:val="0036759C"/>
    <w:rsid w:val="00367AE5"/>
    <w:rsid w:val="00367D71"/>
    <w:rsid w:val="0038150A"/>
    <w:rsid w:val="00385147"/>
    <w:rsid w:val="00390359"/>
    <w:rsid w:val="003B58AB"/>
    <w:rsid w:val="003B6E75"/>
    <w:rsid w:val="003B7DA1"/>
    <w:rsid w:val="003D0379"/>
    <w:rsid w:val="003D2574"/>
    <w:rsid w:val="003D418D"/>
    <w:rsid w:val="003D4C59"/>
    <w:rsid w:val="003F4267"/>
    <w:rsid w:val="00404032"/>
    <w:rsid w:val="0040736F"/>
    <w:rsid w:val="00412C1F"/>
    <w:rsid w:val="00416792"/>
    <w:rsid w:val="00421CB2"/>
    <w:rsid w:val="004268B9"/>
    <w:rsid w:val="00426DD5"/>
    <w:rsid w:val="004271CD"/>
    <w:rsid w:val="004329FD"/>
    <w:rsid w:val="00433B96"/>
    <w:rsid w:val="004440F1"/>
    <w:rsid w:val="004456DD"/>
    <w:rsid w:val="00446CDF"/>
    <w:rsid w:val="00447C90"/>
    <w:rsid w:val="004521B7"/>
    <w:rsid w:val="00462AB5"/>
    <w:rsid w:val="00465EAF"/>
    <w:rsid w:val="004738C5"/>
    <w:rsid w:val="00491046"/>
    <w:rsid w:val="004A2AC7"/>
    <w:rsid w:val="004A6D2F"/>
    <w:rsid w:val="004C2502"/>
    <w:rsid w:val="004C2887"/>
    <w:rsid w:val="004C4CEE"/>
    <w:rsid w:val="004D2626"/>
    <w:rsid w:val="004D6E26"/>
    <w:rsid w:val="004D77D3"/>
    <w:rsid w:val="004E2959"/>
    <w:rsid w:val="004F20EF"/>
    <w:rsid w:val="0050321C"/>
    <w:rsid w:val="0054712D"/>
    <w:rsid w:val="00547EF6"/>
    <w:rsid w:val="005570B5"/>
    <w:rsid w:val="00567E18"/>
    <w:rsid w:val="00575F5F"/>
    <w:rsid w:val="00581805"/>
    <w:rsid w:val="0058272E"/>
    <w:rsid w:val="00585F76"/>
    <w:rsid w:val="005A34E4"/>
    <w:rsid w:val="005B17F2"/>
    <w:rsid w:val="005B7FB0"/>
    <w:rsid w:val="005C35A5"/>
    <w:rsid w:val="005C577C"/>
    <w:rsid w:val="005D0621"/>
    <w:rsid w:val="005D1E27"/>
    <w:rsid w:val="005D2A3E"/>
    <w:rsid w:val="005E022E"/>
    <w:rsid w:val="005E3D46"/>
    <w:rsid w:val="005E5215"/>
    <w:rsid w:val="005E55CC"/>
    <w:rsid w:val="005F165C"/>
    <w:rsid w:val="005F7F7E"/>
    <w:rsid w:val="00601A90"/>
    <w:rsid w:val="00603397"/>
    <w:rsid w:val="00611FA8"/>
    <w:rsid w:val="00614693"/>
    <w:rsid w:val="00623C2F"/>
    <w:rsid w:val="00625D7B"/>
    <w:rsid w:val="00633578"/>
    <w:rsid w:val="00637068"/>
    <w:rsid w:val="00650811"/>
    <w:rsid w:val="00661D3E"/>
    <w:rsid w:val="006747B9"/>
    <w:rsid w:val="006871C4"/>
    <w:rsid w:val="00690A81"/>
    <w:rsid w:val="00692627"/>
    <w:rsid w:val="006969E7"/>
    <w:rsid w:val="006A3643"/>
    <w:rsid w:val="006A499E"/>
    <w:rsid w:val="006B5F92"/>
    <w:rsid w:val="006C2A29"/>
    <w:rsid w:val="006C64CF"/>
    <w:rsid w:val="006D17B1"/>
    <w:rsid w:val="006D4752"/>
    <w:rsid w:val="006D708A"/>
    <w:rsid w:val="006E14C1"/>
    <w:rsid w:val="006F0292"/>
    <w:rsid w:val="006F27FA"/>
    <w:rsid w:val="006F416B"/>
    <w:rsid w:val="006F519B"/>
    <w:rsid w:val="006F7AF4"/>
    <w:rsid w:val="00713675"/>
    <w:rsid w:val="00715823"/>
    <w:rsid w:val="0072195B"/>
    <w:rsid w:val="00737B93"/>
    <w:rsid w:val="00745BF0"/>
    <w:rsid w:val="00750C95"/>
    <w:rsid w:val="007554EF"/>
    <w:rsid w:val="007615FE"/>
    <w:rsid w:val="0076655C"/>
    <w:rsid w:val="007742DC"/>
    <w:rsid w:val="00791437"/>
    <w:rsid w:val="007B0C2C"/>
    <w:rsid w:val="007B278E"/>
    <w:rsid w:val="007C5523"/>
    <w:rsid w:val="007C5C23"/>
    <w:rsid w:val="007E2A26"/>
    <w:rsid w:val="007F0D9A"/>
    <w:rsid w:val="007F2348"/>
    <w:rsid w:val="00803F07"/>
    <w:rsid w:val="0080749A"/>
    <w:rsid w:val="00810963"/>
    <w:rsid w:val="0081769B"/>
    <w:rsid w:val="00820859"/>
    <w:rsid w:val="00821FB8"/>
    <w:rsid w:val="00822ACD"/>
    <w:rsid w:val="00824873"/>
    <w:rsid w:val="00841D0B"/>
    <w:rsid w:val="00855C66"/>
    <w:rsid w:val="00871EE4"/>
    <w:rsid w:val="008B293F"/>
    <w:rsid w:val="008B7371"/>
    <w:rsid w:val="008C2400"/>
    <w:rsid w:val="008C2F59"/>
    <w:rsid w:val="008C5117"/>
    <w:rsid w:val="008D3DDB"/>
    <w:rsid w:val="008E00F4"/>
    <w:rsid w:val="008E1287"/>
    <w:rsid w:val="008F143D"/>
    <w:rsid w:val="008F573F"/>
    <w:rsid w:val="009034EC"/>
    <w:rsid w:val="00905347"/>
    <w:rsid w:val="00912F42"/>
    <w:rsid w:val="0093067A"/>
    <w:rsid w:val="00941C60"/>
    <w:rsid w:val="009449A3"/>
    <w:rsid w:val="00966D42"/>
    <w:rsid w:val="00971689"/>
    <w:rsid w:val="00973E90"/>
    <w:rsid w:val="00975B07"/>
    <w:rsid w:val="00980B4A"/>
    <w:rsid w:val="00994FE2"/>
    <w:rsid w:val="009A218A"/>
    <w:rsid w:val="009B59C9"/>
    <w:rsid w:val="009D093B"/>
    <w:rsid w:val="009D4476"/>
    <w:rsid w:val="009E3D0A"/>
    <w:rsid w:val="009E51FC"/>
    <w:rsid w:val="009F1D28"/>
    <w:rsid w:val="009F6E8E"/>
    <w:rsid w:val="009F7618"/>
    <w:rsid w:val="00A00F91"/>
    <w:rsid w:val="00A04D23"/>
    <w:rsid w:val="00A06766"/>
    <w:rsid w:val="00A13765"/>
    <w:rsid w:val="00A150E3"/>
    <w:rsid w:val="00A21B12"/>
    <w:rsid w:val="00A23F80"/>
    <w:rsid w:val="00A351EE"/>
    <w:rsid w:val="00A46E98"/>
    <w:rsid w:val="00A6352B"/>
    <w:rsid w:val="00A701B5"/>
    <w:rsid w:val="00A714BB"/>
    <w:rsid w:val="00A802A4"/>
    <w:rsid w:val="00A8176F"/>
    <w:rsid w:val="00A92D8F"/>
    <w:rsid w:val="00AA2F2B"/>
    <w:rsid w:val="00AA3BBB"/>
    <w:rsid w:val="00AB2988"/>
    <w:rsid w:val="00AB7999"/>
    <w:rsid w:val="00AC19E4"/>
    <w:rsid w:val="00AD3292"/>
    <w:rsid w:val="00AE125D"/>
    <w:rsid w:val="00AE7AF0"/>
    <w:rsid w:val="00AF0572"/>
    <w:rsid w:val="00B066F9"/>
    <w:rsid w:val="00B30334"/>
    <w:rsid w:val="00B500CA"/>
    <w:rsid w:val="00B54982"/>
    <w:rsid w:val="00B67242"/>
    <w:rsid w:val="00B758D0"/>
    <w:rsid w:val="00B86314"/>
    <w:rsid w:val="00B93A9B"/>
    <w:rsid w:val="00B94C36"/>
    <w:rsid w:val="00B967F9"/>
    <w:rsid w:val="00BA1C2E"/>
    <w:rsid w:val="00BA7C21"/>
    <w:rsid w:val="00BB03D6"/>
    <w:rsid w:val="00BB5DB3"/>
    <w:rsid w:val="00BC05B5"/>
    <w:rsid w:val="00BC200B"/>
    <w:rsid w:val="00BC2B5A"/>
    <w:rsid w:val="00BC4756"/>
    <w:rsid w:val="00BC69A4"/>
    <w:rsid w:val="00BD34E9"/>
    <w:rsid w:val="00BE0680"/>
    <w:rsid w:val="00BE305F"/>
    <w:rsid w:val="00BE4593"/>
    <w:rsid w:val="00BE7BA3"/>
    <w:rsid w:val="00BF5682"/>
    <w:rsid w:val="00BF674F"/>
    <w:rsid w:val="00BF7B09"/>
    <w:rsid w:val="00C11B4E"/>
    <w:rsid w:val="00C20A95"/>
    <w:rsid w:val="00C2692F"/>
    <w:rsid w:val="00C3207C"/>
    <w:rsid w:val="00C34EDE"/>
    <w:rsid w:val="00C400E1"/>
    <w:rsid w:val="00C41187"/>
    <w:rsid w:val="00C63C31"/>
    <w:rsid w:val="00C67E61"/>
    <w:rsid w:val="00C757A0"/>
    <w:rsid w:val="00C760DE"/>
    <w:rsid w:val="00C82630"/>
    <w:rsid w:val="00C85B4E"/>
    <w:rsid w:val="00C907F7"/>
    <w:rsid w:val="00CA2103"/>
    <w:rsid w:val="00CA2235"/>
    <w:rsid w:val="00CB6B99"/>
    <w:rsid w:val="00CE4C87"/>
    <w:rsid w:val="00CE544A"/>
    <w:rsid w:val="00CE6F46"/>
    <w:rsid w:val="00D020BF"/>
    <w:rsid w:val="00D11E1C"/>
    <w:rsid w:val="00D160B0"/>
    <w:rsid w:val="00D17F94"/>
    <w:rsid w:val="00D223FC"/>
    <w:rsid w:val="00D26D1E"/>
    <w:rsid w:val="00D474CF"/>
    <w:rsid w:val="00D5547E"/>
    <w:rsid w:val="00D60905"/>
    <w:rsid w:val="00D869A1"/>
    <w:rsid w:val="00D9196A"/>
    <w:rsid w:val="00D9603C"/>
    <w:rsid w:val="00DA22FF"/>
    <w:rsid w:val="00DA2D64"/>
    <w:rsid w:val="00DA413F"/>
    <w:rsid w:val="00DA4584"/>
    <w:rsid w:val="00DA614B"/>
    <w:rsid w:val="00DC3060"/>
    <w:rsid w:val="00DD2067"/>
    <w:rsid w:val="00DE0FB2"/>
    <w:rsid w:val="00DF093E"/>
    <w:rsid w:val="00DF67ED"/>
    <w:rsid w:val="00E01F42"/>
    <w:rsid w:val="00E037C6"/>
    <w:rsid w:val="00E05CDA"/>
    <w:rsid w:val="00E206D6"/>
    <w:rsid w:val="00E3366E"/>
    <w:rsid w:val="00E41586"/>
    <w:rsid w:val="00E4288C"/>
    <w:rsid w:val="00E52086"/>
    <w:rsid w:val="00E543A6"/>
    <w:rsid w:val="00E60394"/>
    <w:rsid w:val="00E60479"/>
    <w:rsid w:val="00E61D73"/>
    <w:rsid w:val="00E73684"/>
    <w:rsid w:val="00E80368"/>
    <w:rsid w:val="00E80B76"/>
    <w:rsid w:val="00E818D6"/>
    <w:rsid w:val="00E873C7"/>
    <w:rsid w:val="00E87F7A"/>
    <w:rsid w:val="00E96BD7"/>
    <w:rsid w:val="00EA0DB1"/>
    <w:rsid w:val="00EA0EE9"/>
    <w:rsid w:val="00EA1D4C"/>
    <w:rsid w:val="00EB28D6"/>
    <w:rsid w:val="00EB2FE2"/>
    <w:rsid w:val="00ED52CA"/>
    <w:rsid w:val="00ED5860"/>
    <w:rsid w:val="00EE0ED7"/>
    <w:rsid w:val="00EE35C9"/>
    <w:rsid w:val="00F05ECA"/>
    <w:rsid w:val="00F32F9E"/>
    <w:rsid w:val="00F3566E"/>
    <w:rsid w:val="00F375FB"/>
    <w:rsid w:val="00F41AC1"/>
    <w:rsid w:val="00F4367A"/>
    <w:rsid w:val="00F445B1"/>
    <w:rsid w:val="00F45CD4"/>
    <w:rsid w:val="00F66DCA"/>
    <w:rsid w:val="00F74B3C"/>
    <w:rsid w:val="00F74F53"/>
    <w:rsid w:val="00F7541E"/>
    <w:rsid w:val="00F7606D"/>
    <w:rsid w:val="00F76FC8"/>
    <w:rsid w:val="00F81670"/>
    <w:rsid w:val="00F82024"/>
    <w:rsid w:val="00F95BC9"/>
    <w:rsid w:val="00F962D2"/>
    <w:rsid w:val="00FA624C"/>
    <w:rsid w:val="00FC1BF0"/>
    <w:rsid w:val="00FC2C41"/>
    <w:rsid w:val="00FD0FAC"/>
    <w:rsid w:val="00FD1DFA"/>
    <w:rsid w:val="00FD4966"/>
    <w:rsid w:val="00FE513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54E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54E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7/08/bcf-planning-requirements-faq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n.org.uk/-/media/royal-college-of-nursing/documents/publications/2007/november/pub-00277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sfund.org.uk/sites/default/files/field/field_publication_file/exploring-system-wide-costs-of-falls-in-torbay-kingsfund-aug1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undations.uk.com/media/4718/preparing-a-policy-under-the-regulatory-reform-order-formatted.pdf" TargetMode="External"/><Relationship Id="rId4" Type="http://schemas.microsoft.com/office/2007/relationships/stylesWithEffects" Target="stylesWithEffects.xml"/><Relationship Id="rId9" Type="http://schemas.openxmlformats.org/officeDocument/2006/relationships/hyperlink" Target="http://insight.oxfordshire.gov.uk/cms/system/files/documents/20160329_Needs%20Analysis%20for%20Older%20People%20in%20Oxfordshire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61F9-4845-4FC7-8790-F4F0615E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1680E92</Template>
  <TotalTime>17</TotalTime>
  <Pages>5</Pages>
  <Words>1323</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rbell</dc:creator>
  <cp:lastModifiedBy>JMitchell</cp:lastModifiedBy>
  <cp:revision>6</cp:revision>
  <cp:lastPrinted>2017-11-27T12:22:00Z</cp:lastPrinted>
  <dcterms:created xsi:type="dcterms:W3CDTF">2017-12-04T09:53:00Z</dcterms:created>
  <dcterms:modified xsi:type="dcterms:W3CDTF">2018-01-15T11:26:00Z</dcterms:modified>
</cp:coreProperties>
</file>